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2B5763">
      <w:pPr>
        <w:spacing w:line="600" w:lineRule="exact"/>
        <w:rPr>
          <w:rFonts w:ascii="Times New Roman" w:hAnsi="Times New Roman" w:eastAsia="黑体"/>
          <w:bCs/>
          <w:sz w:val="32"/>
          <w:szCs w:val="32"/>
        </w:rPr>
      </w:pPr>
      <w:r>
        <w:rPr>
          <w:rFonts w:ascii="Times New Roman" w:hAnsi="Times New Roman" w:eastAsia="黑体"/>
          <w:bCs/>
          <w:sz w:val="32"/>
          <w:szCs w:val="32"/>
        </w:rPr>
        <w:t>附件2</w:t>
      </w:r>
    </w:p>
    <w:p w14:paraId="5731694E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D0EA362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CCE12A1">
      <w:pPr>
        <w:ind w:right="120"/>
        <w:jc w:val="right"/>
        <w:rPr>
          <w:rFonts w:ascii="Times New Roman" w:hAnsi="Times New Roman" w:eastAsia="华文楷体"/>
          <w:bCs/>
          <w:sz w:val="16"/>
          <w:szCs w:val="21"/>
        </w:rPr>
      </w:pPr>
    </w:p>
    <w:p w14:paraId="35EDE712">
      <w:pPr>
        <w:jc w:val="center"/>
        <w:rPr>
          <w:rFonts w:ascii="Times New Roman" w:hAnsi="Times New Roman" w:eastAsia="黑体"/>
          <w:bCs/>
          <w:sz w:val="44"/>
        </w:rPr>
      </w:pPr>
    </w:p>
    <w:p w14:paraId="3B274B23">
      <w:pPr>
        <w:jc w:val="center"/>
        <w:rPr>
          <w:rFonts w:ascii="Times New Roman" w:hAnsi="Times New Roman" w:eastAsia="黑体"/>
          <w:bCs/>
          <w:sz w:val="44"/>
        </w:rPr>
      </w:pPr>
    </w:p>
    <w:p w14:paraId="318FE7D9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</w:rPr>
      </w:pPr>
      <w:r>
        <w:rPr>
          <w:rFonts w:ascii="Times New Roman" w:hAnsi="Times New Roman" w:eastAsia="方正小标宋简体"/>
          <w:bCs/>
          <w:sz w:val="44"/>
        </w:rPr>
        <w:t>合肥市财政支出项目</w:t>
      </w:r>
      <w:r>
        <w:rPr>
          <w:rFonts w:hint="eastAsia" w:ascii="Times New Roman" w:hAnsi="Times New Roman" w:eastAsia="方正小标宋简体"/>
          <w:bCs/>
          <w:sz w:val="44"/>
        </w:rPr>
        <w:t>部门评价</w:t>
      </w:r>
      <w:r>
        <w:rPr>
          <w:rFonts w:ascii="Times New Roman" w:hAnsi="Times New Roman" w:eastAsia="方正小标宋简体"/>
          <w:bCs/>
          <w:sz w:val="44"/>
        </w:rPr>
        <w:t>报告</w:t>
      </w:r>
    </w:p>
    <w:p w14:paraId="5E66C1B4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5970006D">
      <w:pPr>
        <w:jc w:val="center"/>
        <w:rPr>
          <w:rFonts w:ascii="Times New Roman" w:hAnsi="Times New Roman" w:eastAsia="楷体_GB2312"/>
          <w:b/>
          <w:bCs/>
          <w:sz w:val="32"/>
        </w:rPr>
      </w:pPr>
    </w:p>
    <w:p w14:paraId="6D68BD5A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68A5D56C">
      <w:pPr>
        <w:spacing w:before="156" w:beforeLines="50" w:after="156" w:afterLines="50"/>
        <w:ind w:left="2207" w:leftChars="289" w:hanging="1600" w:hangingChars="5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名   称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2024_城乡义务教育生均公用经费_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中</w:t>
      </w:r>
      <w:r>
        <w:rPr>
          <w:rFonts w:hint="eastAsia" w:ascii="Times New Roman" w:hAnsi="Times New Roman" w:eastAsia="楷体_GB2312"/>
          <w:sz w:val="32"/>
          <w:u w:val="single"/>
        </w:rPr>
        <w:t>学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18BA40DF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   目   单   位 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合肥市</w:t>
      </w:r>
      <w:r>
        <w:rPr>
          <w:rFonts w:hint="eastAsia" w:ascii="Times New Roman" w:hAnsi="Times New Roman" w:eastAsia="楷体_GB2312"/>
          <w:sz w:val="32"/>
          <w:u w:val="single"/>
          <w:lang w:val="en-US" w:eastAsia="zh-CN"/>
        </w:rPr>
        <w:t>第五十五中学东校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</w:t>
      </w:r>
    </w:p>
    <w:p w14:paraId="01645BF9">
      <w:pPr>
        <w:spacing w:before="156" w:beforeLines="50" w:after="156" w:afterLines="50"/>
        <w:ind w:left="1887" w:leftChars="289" w:hanging="1280" w:hangingChars="400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项目责任人 （签字）：</w:t>
      </w:r>
      <w:r>
        <w:rPr>
          <w:rFonts w:ascii="Times New Roman" w:hAnsi="Times New Roman" w:eastAsia="楷体_GB2312"/>
          <w:sz w:val="32"/>
          <w:u w:val="single"/>
        </w:rPr>
        <w:t xml:space="preserve">                           </w:t>
      </w:r>
    </w:p>
    <w:p w14:paraId="17224EB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  <w:u w:val="single"/>
        </w:rPr>
      </w:pPr>
      <w:r>
        <w:rPr>
          <w:rFonts w:ascii="Times New Roman" w:hAnsi="Times New Roman" w:eastAsia="楷体_GB2312"/>
          <w:sz w:val="32"/>
        </w:rPr>
        <w:t>主 管 部 门（盖章）：</w:t>
      </w:r>
      <w:r>
        <w:rPr>
          <w:rFonts w:ascii="Times New Roman" w:hAnsi="Times New Roman" w:eastAsia="楷体_GB2312"/>
          <w:sz w:val="32"/>
          <w:u w:val="single"/>
        </w:rPr>
        <w:t xml:space="preserve"> </w:t>
      </w:r>
      <w:r>
        <w:rPr>
          <w:rFonts w:hint="eastAsia" w:ascii="Times New Roman" w:hAnsi="Times New Roman" w:eastAsia="楷体_GB2312"/>
          <w:sz w:val="32"/>
          <w:u w:val="single"/>
        </w:rPr>
        <w:t>区</w:t>
      </w:r>
      <w:r>
        <w:rPr>
          <w:rFonts w:ascii="Times New Roman" w:hAnsi="Times New Roman" w:eastAsia="楷体_GB2312"/>
          <w:sz w:val="32"/>
          <w:u w:val="single"/>
        </w:rPr>
        <w:t xml:space="preserve">教体局                          </w:t>
      </w:r>
    </w:p>
    <w:p w14:paraId="482D20B8">
      <w:pPr>
        <w:spacing w:before="156" w:beforeLines="50" w:after="156" w:afterLines="50"/>
        <w:ind w:firstLine="614" w:firstLineChars="192"/>
        <w:rPr>
          <w:rFonts w:ascii="Times New Roman" w:hAnsi="Times New Roman" w:eastAsia="楷体_GB2312"/>
          <w:sz w:val="32"/>
        </w:rPr>
      </w:pPr>
    </w:p>
    <w:p w14:paraId="73E404B8">
      <w:pPr>
        <w:ind w:firstLine="614" w:firstLineChars="192"/>
        <w:jc w:val="center"/>
        <w:rPr>
          <w:rFonts w:ascii="Times New Roman" w:hAnsi="Times New Roman" w:eastAsia="楷体_GB2312"/>
          <w:sz w:val="32"/>
        </w:rPr>
      </w:pPr>
    </w:p>
    <w:p w14:paraId="510D089D">
      <w:pPr>
        <w:spacing w:line="600" w:lineRule="exact"/>
        <w:jc w:val="center"/>
        <w:rPr>
          <w:rFonts w:ascii="Times New Roman" w:hAnsi="Times New Roman" w:eastAsia="方正小标宋简体"/>
          <w:bCs/>
          <w:sz w:val="44"/>
          <w:szCs w:val="24"/>
        </w:rPr>
      </w:pPr>
      <w:r>
        <w:rPr>
          <w:rFonts w:ascii="Times New Roman" w:hAnsi="Times New Roman" w:eastAsia="楷体"/>
          <w:sz w:val="32"/>
        </w:rPr>
        <w:t xml:space="preserve">      2025</w:t>
      </w:r>
      <w:r>
        <w:rPr>
          <w:rFonts w:ascii="Times New Roman" w:hAnsi="Times New Roman" w:eastAsia="楷体_GB2312"/>
          <w:sz w:val="32"/>
        </w:rPr>
        <w:t>年</w:t>
      </w:r>
      <w:r>
        <w:rPr>
          <w:rFonts w:ascii="Times New Roman" w:hAnsi="Times New Roman" w:eastAsia="楷体"/>
          <w:sz w:val="32"/>
        </w:rPr>
        <w:t>3</w:t>
      </w:r>
      <w:r>
        <w:rPr>
          <w:rFonts w:ascii="Times New Roman" w:hAnsi="Times New Roman" w:eastAsia="楷体_GB2312"/>
          <w:sz w:val="32"/>
        </w:rPr>
        <w:t>月</w:t>
      </w:r>
      <w:r>
        <w:rPr>
          <w:rFonts w:ascii="Times New Roman" w:hAnsi="Times New Roman" w:eastAsia="楷体_GB2312"/>
          <w:sz w:val="32"/>
        </w:rPr>
        <w:br w:type="page"/>
      </w:r>
      <w:r>
        <w:rPr>
          <w:rFonts w:ascii="Times New Roman" w:hAnsi="Times New Roman" w:eastAsia="方正小标宋简体"/>
          <w:bCs/>
          <w:sz w:val="44"/>
          <w:szCs w:val="24"/>
        </w:rPr>
        <w:t>2024年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城乡义务</w:t>
      </w:r>
      <w:r>
        <w:rPr>
          <w:rFonts w:ascii="Times New Roman" w:hAnsi="Times New Roman" w:eastAsia="方正小标宋简体"/>
          <w:bCs/>
          <w:sz w:val="44"/>
          <w:szCs w:val="24"/>
        </w:rPr>
        <w:t>教育补助经费项目</w:t>
      </w:r>
      <w:r>
        <w:rPr>
          <w:rFonts w:hint="eastAsia" w:ascii="Times New Roman" w:hAnsi="Times New Roman" w:eastAsia="方正小标宋简体"/>
          <w:bCs/>
          <w:sz w:val="44"/>
          <w:szCs w:val="24"/>
        </w:rPr>
        <w:t>部门评价</w:t>
      </w:r>
      <w:r>
        <w:rPr>
          <w:rFonts w:ascii="Times New Roman" w:hAnsi="Times New Roman" w:eastAsia="方正小标宋简体"/>
          <w:bCs/>
          <w:sz w:val="44"/>
          <w:szCs w:val="24"/>
        </w:rPr>
        <w:t>报告</w:t>
      </w:r>
    </w:p>
    <w:p w14:paraId="64056FB8">
      <w:pPr>
        <w:spacing w:line="580" w:lineRule="exact"/>
        <w:jc w:val="center"/>
        <w:rPr>
          <w:rFonts w:ascii="Times New Roman" w:hAnsi="Times New Roman" w:eastAsia="仿宋_GB2312"/>
          <w:bCs/>
          <w:sz w:val="32"/>
          <w:szCs w:val="32"/>
        </w:rPr>
      </w:pPr>
    </w:p>
    <w:p w14:paraId="0CCD7268">
      <w:pPr>
        <w:widowControl/>
        <w:spacing w:line="560" w:lineRule="exact"/>
        <w:ind w:firstLine="640" w:firstLineChars="200"/>
        <w:rPr>
          <w:rFonts w:ascii="Times New Roman" w:hAnsi="Times New Roman" w:eastAsia="黑体"/>
          <w:sz w:val="32"/>
          <w:szCs w:val="32"/>
        </w:rPr>
      </w:pPr>
      <w:r>
        <w:rPr>
          <w:rFonts w:ascii="Times New Roman" w:hAnsi="Times New Roman" w:eastAsia="黑体"/>
          <w:sz w:val="32"/>
          <w:szCs w:val="32"/>
        </w:rPr>
        <w:t>一、项目基本情况</w:t>
      </w:r>
    </w:p>
    <w:p w14:paraId="11DDD6E8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（一）项目概况</w:t>
      </w:r>
    </w:p>
    <w:p w14:paraId="571EF77D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1.项目立项情况</w:t>
      </w:r>
    </w:p>
    <w:p w14:paraId="295B0576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立项背景：通过各类主题鲜明的素质教育活动的开展，提升我校的办学质量，改善办学条件，提升教师的教育教学水平，提升我校学生的创新精神和综合素质，形成促进学生健康、快乐成长的素质教育长效机制。努力践行办人民满意、公平而有质量的教育。</w:t>
      </w:r>
    </w:p>
    <w:p w14:paraId="325FB9D7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立项依据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根据学校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现状及学校年度计划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4D228ED6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主要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内容：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各项教育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教学活动及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校园文化建设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0CAAAB93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覆盖面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全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各项教育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教学活动及学校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设施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的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维修改造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289D1240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资金总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量：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230.12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5E217761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资金类型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财政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资金。</w:t>
      </w:r>
    </w:p>
    <w:p w14:paraId="57D8D91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项目类型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经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常性业务经费。</w:t>
      </w:r>
    </w:p>
    <w:p w14:paraId="787ECD40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实施周期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年1月-202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年12月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0F3AAAB9">
      <w:pPr>
        <w:widowControl/>
        <w:spacing w:line="560" w:lineRule="exact"/>
        <w:ind w:firstLine="640" w:firstLineChars="200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项目实施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主管部门：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合肥市瑶海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区教体局。</w:t>
      </w:r>
    </w:p>
    <w:p w14:paraId="56B9F454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2.项目执行情况</w:t>
      </w:r>
    </w:p>
    <w:p w14:paraId="6FD4496F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实施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过程：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各项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教育教学活动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及时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开展，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校园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文化建设有序进行。</w:t>
      </w:r>
    </w:p>
    <w:p w14:paraId="468EE004">
      <w:pPr>
        <w:spacing w:line="560" w:lineRule="exact"/>
        <w:ind w:firstLine="646" w:firstLineChars="202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项目进展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及任务完成情况：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10余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0余次，教师集中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余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余次。</w:t>
      </w:r>
    </w:p>
    <w:p w14:paraId="351DE5DF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执行情况：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预算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按期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完成。</w:t>
      </w:r>
    </w:p>
    <w:p w14:paraId="5DBF9DF2">
      <w:pPr>
        <w:spacing w:line="560" w:lineRule="exact"/>
        <w:ind w:firstLine="646" w:firstLineChars="202"/>
        <w:rPr>
          <w:rFonts w:ascii="Times New Roman" w:hAnsi="Times New Roman" w:eastAsia="仿宋_GB2312"/>
          <w:snapToGrid w:val="0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项目资金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投入和使用情况：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投入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230.12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，使用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230.12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snapToGrid w:val="0"/>
          <w:color w:val="000000"/>
          <w:sz w:val="32"/>
          <w:szCs w:val="32"/>
        </w:rPr>
        <w:t>。</w:t>
      </w:r>
    </w:p>
    <w:p w14:paraId="09273469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（二）项目绩效目标</w:t>
      </w:r>
    </w:p>
    <w:p w14:paraId="7541D683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1.项目年度总体目标</w:t>
      </w:r>
    </w:p>
    <w:p w14:paraId="3B284A02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年申请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230.12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财政资金，主要用于本单位教育教学活动。通过各类主题鲜明的素质教育活动的开展，提升我校的办学质量，改善办学条件，提升教师的教育教学水平，提升我校学生的创新精神和综合素质，形成促进学生健康、快乐成长的素质教育长效机制。努力践行办人民满意、公平而有质量的教育。</w:t>
      </w:r>
    </w:p>
    <w:p w14:paraId="526281E1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2.总体目标完成情况</w:t>
      </w:r>
    </w:p>
    <w:p w14:paraId="63B5FBDE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202</w:t>
      </w:r>
      <w:r>
        <w:rPr>
          <w:rFonts w:ascii="Times New Roman" w:hAnsi="Times New Roman" w:eastAsia="仿宋_GB2312"/>
          <w:color w:val="000000"/>
          <w:sz w:val="32"/>
          <w:szCs w:val="32"/>
        </w:rPr>
        <w:t>4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学校</w:t>
      </w:r>
      <w:r>
        <w:rPr>
          <w:rFonts w:ascii="Times New Roman" w:hAnsi="Times New Roman" w:eastAsia="仿宋_GB2312"/>
          <w:color w:val="000000"/>
          <w:sz w:val="32"/>
          <w:szCs w:val="32"/>
        </w:rPr>
        <w:t>校园文化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建设日常</w:t>
      </w:r>
      <w:r>
        <w:rPr>
          <w:rFonts w:ascii="Times New Roman" w:hAnsi="Times New Roman" w:eastAsia="仿宋_GB2312"/>
          <w:color w:val="000000"/>
          <w:sz w:val="32"/>
          <w:szCs w:val="32"/>
        </w:rPr>
        <w:t>维修50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，经费使用40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.00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万元；教师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培训活动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余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18.12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；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等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，经费使用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172.00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。</w:t>
      </w:r>
    </w:p>
    <w:p w14:paraId="4C994644">
      <w:pPr>
        <w:spacing w:line="56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二、绩效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结论</w:t>
      </w:r>
    </w:p>
    <w:p w14:paraId="762F2ED7">
      <w:pPr>
        <w:widowControl/>
        <w:spacing w:line="56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（一）总体结论</w:t>
      </w:r>
    </w:p>
    <w:p w14:paraId="23AB1844">
      <w:pPr>
        <w:spacing w:line="56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2024年度，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教育补助经费项目通过申请财政资金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230.12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共完成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10余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0余次，教师集中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余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等工作，已完成年度设定的绩效目标，达到项目预期效果。具体包括：一是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所</w:t>
      </w:r>
      <w:r>
        <w:rPr>
          <w:rFonts w:ascii="Times New Roman" w:hAnsi="Times New Roman" w:eastAsia="仿宋_GB2312"/>
          <w:color w:val="000000"/>
          <w:sz w:val="32"/>
          <w:szCs w:val="32"/>
        </w:rPr>
        <w:t>有项目按计划精心组织、大力推进；二是经费做到项目完成后及时支付；三是扩大宣传，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社</w:t>
      </w:r>
      <w:r>
        <w:rPr>
          <w:rFonts w:ascii="Times New Roman" w:hAnsi="Times New Roman" w:eastAsia="仿宋_GB2312"/>
          <w:color w:val="000000"/>
          <w:sz w:val="32"/>
          <w:szCs w:val="32"/>
        </w:rPr>
        <w:t>会对教育满意度显著提高。</w:t>
      </w:r>
    </w:p>
    <w:p w14:paraId="4B656ECE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（二）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评价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结果</w:t>
      </w:r>
    </w:p>
    <w:p w14:paraId="054119C1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sz w:val="32"/>
          <w:szCs w:val="32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</w:t>
      </w:r>
      <w:r>
        <w:rPr>
          <w:rFonts w:ascii="Times New Roman" w:hAnsi="Times New Roman" w:eastAsia="仿宋_GB2312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综合得分为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结果为“</w:t>
      </w:r>
      <w:r>
        <w:rPr>
          <w:rFonts w:hint="eastAsia" w:ascii="Times New Roman" w:hAnsi="Times New Roman" w:eastAsia="仿宋_GB2312"/>
          <w:sz w:val="32"/>
          <w:szCs w:val="32"/>
        </w:rPr>
        <w:t>优</w:t>
      </w:r>
      <w:r>
        <w:rPr>
          <w:rFonts w:ascii="Times New Roman" w:hAnsi="Times New Roman" w:eastAsia="仿宋_GB2312"/>
          <w:color w:val="000000"/>
          <w:sz w:val="32"/>
          <w:szCs w:val="32"/>
        </w:rPr>
        <w:t>”。</w:t>
      </w:r>
    </w:p>
    <w:p w14:paraId="4CEB5B92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三、指标分析</w:t>
      </w:r>
    </w:p>
    <w:p w14:paraId="39C4D55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2024</w:t>
      </w:r>
      <w:r>
        <w:rPr>
          <w:rFonts w:ascii="Times New Roman" w:hAnsi="Times New Roman" w:eastAsia="仿宋_GB2312"/>
          <w:color w:val="000000"/>
          <w:sz w:val="32"/>
          <w:szCs w:val="32"/>
        </w:rPr>
        <w:t>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教育补助经费项目绩效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指标体系设置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预算执行率和</w:t>
      </w:r>
      <w:r>
        <w:rPr>
          <w:rFonts w:hint="eastAsia" w:ascii="Times New Roman" w:hAnsi="Times New Roman" w:eastAsia="仿宋_GB2312"/>
          <w:sz w:val="32"/>
          <w:szCs w:val="32"/>
        </w:rPr>
        <w:t>3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个一级指标，9个二级指标，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</w:t>
      </w:r>
      <w:r>
        <w:rPr>
          <w:rFonts w:ascii="Times New Roman" w:hAnsi="Times New Roman" w:eastAsia="仿宋_GB2312"/>
          <w:color w:val="000000"/>
          <w:sz w:val="32"/>
          <w:szCs w:val="32"/>
        </w:rPr>
        <w:t>个三级指标，各项指标评分情况分析如下：</w:t>
      </w:r>
    </w:p>
    <w:p w14:paraId="76F8F732">
      <w:pPr>
        <w:spacing w:line="592" w:lineRule="exact"/>
        <w:ind w:firstLine="643" w:firstLineChars="200"/>
        <w:rPr>
          <w:rFonts w:ascii="Times New Roman" w:hAnsi="Times New Roman" w:eastAsia="楷体_GB2312"/>
          <w:b/>
          <w:bCs/>
          <w:sz w:val="32"/>
        </w:rPr>
      </w:pPr>
      <w:r>
        <w:rPr>
          <w:rFonts w:ascii="Times New Roman" w:hAnsi="Times New Roman" w:eastAsia="楷体_GB2312"/>
          <w:b/>
          <w:bCs/>
          <w:sz w:val="32"/>
        </w:rPr>
        <w:t>（一）预算执行率（满分10分，实得10分）</w:t>
      </w:r>
    </w:p>
    <w:p w14:paraId="543FF8EC">
      <w:pPr>
        <w:spacing w:line="592" w:lineRule="exact"/>
        <w:ind w:right="-283"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2024年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全年预算安排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228.32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其中</w:t>
      </w:r>
      <w:r>
        <w:rPr>
          <w:rFonts w:ascii="Times New Roman" w:hAnsi="Times New Roman" w:eastAsia="仿宋_GB2312"/>
          <w:color w:val="000000"/>
          <w:sz w:val="32"/>
          <w:szCs w:val="32"/>
        </w:rPr>
        <w:t>区级资金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92.05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，上级资金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138.07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万元。</w:t>
      </w:r>
      <w:r>
        <w:rPr>
          <w:rFonts w:ascii="Times New Roman" w:hAnsi="Times New Roman" w:eastAsia="仿宋_GB2312"/>
          <w:color w:val="000000"/>
          <w:sz w:val="32"/>
          <w:szCs w:val="32"/>
        </w:rPr>
        <w:t>全年执行</w:t>
      </w:r>
      <w:r>
        <w:rPr>
          <w:rFonts w:hint="eastAsia" w:ascii="Times New Roman" w:hAnsi="Times New Roman" w:eastAsia="仿宋_GB2312"/>
          <w:snapToGrid w:val="0"/>
          <w:color w:val="000000"/>
          <w:sz w:val="32"/>
          <w:szCs w:val="32"/>
          <w:lang w:val="en-US" w:eastAsia="zh-CN"/>
        </w:rPr>
        <w:t>230.12</w:t>
      </w:r>
      <w:r>
        <w:rPr>
          <w:rFonts w:ascii="Times New Roman" w:hAnsi="Times New Roman" w:eastAsia="仿宋_GB2312"/>
          <w:color w:val="000000"/>
          <w:sz w:val="32"/>
          <w:szCs w:val="32"/>
        </w:rPr>
        <w:t>万元，预算执行率100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.79</w:t>
      </w:r>
      <w:r>
        <w:rPr>
          <w:rFonts w:ascii="Times New Roman" w:hAnsi="Times New Roman" w:eastAsia="仿宋_GB2312"/>
          <w:color w:val="000000"/>
          <w:sz w:val="32"/>
          <w:szCs w:val="32"/>
        </w:rPr>
        <w:t>%，得分10分。</w:t>
      </w:r>
    </w:p>
    <w:p w14:paraId="6CB44CFB">
      <w:pPr>
        <w:widowControl/>
        <w:spacing w:line="600" w:lineRule="exact"/>
        <w:ind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二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）产出指标（满分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50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分，实得50分）</w:t>
      </w:r>
    </w:p>
    <w:p w14:paraId="150A87F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sz w:val="32"/>
          <w:szCs w:val="32"/>
        </w:rPr>
        <w:t>1.数量指标（满分</w:t>
      </w:r>
      <w:r>
        <w:rPr>
          <w:rFonts w:hint="eastAsia" w:ascii="Times New Roman" w:hAnsi="Times New Roman" w:eastAsia="仿宋_GB2312"/>
          <w:sz w:val="32"/>
          <w:szCs w:val="32"/>
        </w:rPr>
        <w:t>13</w:t>
      </w:r>
      <w:r>
        <w:rPr>
          <w:rFonts w:ascii="Times New Roman" w:hAnsi="Times New Roman" w:eastAsia="仿宋_GB2312"/>
          <w:sz w:val="32"/>
          <w:szCs w:val="32"/>
        </w:rPr>
        <w:t>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实得13分）</w:t>
      </w:r>
    </w:p>
    <w:p w14:paraId="2839074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年度设定的数量指标1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个，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服务学生2366人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截至2024年底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学校完成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校园文化建设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10余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</w:t>
      </w:r>
      <w:r>
        <w:rPr>
          <w:rFonts w:ascii="Times New Roman" w:hAnsi="Times New Roman" w:eastAsia="仿宋_GB2312"/>
          <w:color w:val="000000"/>
          <w:sz w:val="32"/>
          <w:szCs w:val="32"/>
        </w:rPr>
        <w:t>教学楼维修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及</w:t>
      </w:r>
      <w:r>
        <w:rPr>
          <w:rFonts w:ascii="Times New Roman" w:hAnsi="Times New Roman" w:eastAsia="仿宋_GB2312"/>
          <w:color w:val="000000"/>
          <w:sz w:val="32"/>
          <w:szCs w:val="32"/>
        </w:rPr>
        <w:t>其他日常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维修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5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0余次，教师集中</w:t>
      </w:r>
      <w:r>
        <w:rPr>
          <w:rFonts w:ascii="Times New Roman" w:hAnsi="Times New Roman" w:eastAsia="仿宋_GB2312"/>
          <w:color w:val="000000"/>
          <w:sz w:val="32"/>
          <w:szCs w:val="32"/>
        </w:rPr>
        <w:t>培训、远程培训及个人外出培训共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余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次，其他</w:t>
      </w:r>
      <w:r>
        <w:rPr>
          <w:rFonts w:ascii="Times New Roman" w:hAnsi="Times New Roman" w:eastAsia="仿宋_GB2312"/>
          <w:color w:val="000000"/>
          <w:sz w:val="32"/>
          <w:szCs w:val="32"/>
        </w:rPr>
        <w:t>各项教育教学活动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余次</w:t>
      </w:r>
      <w:r>
        <w:rPr>
          <w:rFonts w:ascii="Times New Roman" w:hAnsi="Times New Roman" w:eastAsia="仿宋_GB2312"/>
          <w:color w:val="000000"/>
          <w:sz w:val="32"/>
          <w:szCs w:val="32"/>
        </w:rPr>
        <w:t>等，保证了教育教学的正常运转。实际完成率为100%，得分13分。</w:t>
      </w:r>
    </w:p>
    <w:p w14:paraId="3DD0A43F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2.时效指标（满分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13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分，实得13分）</w:t>
      </w:r>
    </w:p>
    <w:p w14:paraId="7939B09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年度设定的时效指标1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经费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支出时效性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实际完成情况达成预期指标</w:t>
      </w:r>
      <w:r>
        <w:rPr>
          <w:rFonts w:ascii="Times New Roman" w:hAnsi="Times New Roman" w:eastAsia="仿宋_GB2312"/>
          <w:b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得分13分。</w:t>
      </w:r>
    </w:p>
    <w:p w14:paraId="7B82D80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3.质量指标（满分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分，实得12分）</w:t>
      </w:r>
    </w:p>
    <w:p w14:paraId="7B056CE0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年度设定的质量指标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学校发展质量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实际完成情况达成预期指标，得分12分。</w:t>
      </w:r>
    </w:p>
    <w:p w14:paraId="7E609719">
      <w:pPr>
        <w:spacing w:line="600" w:lineRule="exact"/>
        <w:ind w:firstLine="640" w:firstLineChars="200"/>
        <w:rPr>
          <w:rFonts w:ascii="Times New Roman" w:hAnsi="Times New Roman" w:eastAsia="仿宋_GB2312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4.成本指标（满分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12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分，实得12分）</w:t>
      </w:r>
      <w:r>
        <w:rPr>
          <w:rFonts w:ascii="Times New Roman" w:hAnsi="Times New Roman" w:eastAsia="仿宋_GB2312"/>
          <w:sz w:val="32"/>
          <w:szCs w:val="32"/>
        </w:rPr>
        <w:tab/>
      </w:r>
    </w:p>
    <w:p w14:paraId="3E66AEB3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 xml:space="preserve">年度设定的成本指标1 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个</w:t>
      </w:r>
      <w:r>
        <w:rPr>
          <w:rFonts w:ascii="Times New Roman" w:hAnsi="Times New Roman" w:eastAsia="仿宋_GB2312"/>
          <w:color w:val="000000"/>
          <w:sz w:val="32"/>
          <w:szCs w:val="32"/>
        </w:rPr>
        <w:t>，为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项目总成本不</w:t>
      </w:r>
      <w:r>
        <w:rPr>
          <w:rFonts w:ascii="Times New Roman" w:hAnsi="Times New Roman" w:eastAsia="仿宋_GB2312"/>
          <w:color w:val="000000"/>
          <w:sz w:val="32"/>
          <w:szCs w:val="32"/>
        </w:rPr>
        <w:t>超过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235.00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万元。</w:t>
      </w:r>
      <w:r>
        <w:rPr>
          <w:rFonts w:ascii="Times New Roman" w:hAnsi="Times New Roman" w:eastAsia="仿宋_GB2312"/>
          <w:color w:val="000000"/>
          <w:sz w:val="32"/>
          <w:szCs w:val="32"/>
        </w:rPr>
        <w:t>实际完成情况为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全年共</w:t>
      </w:r>
      <w:r>
        <w:rPr>
          <w:rFonts w:ascii="Times New Roman" w:hAnsi="Times New Roman" w:eastAsia="仿宋_GB2312"/>
          <w:color w:val="000000"/>
          <w:sz w:val="32"/>
          <w:szCs w:val="32"/>
        </w:rPr>
        <w:t>支出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230.12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万元</w:t>
      </w:r>
      <w:r>
        <w:rPr>
          <w:rFonts w:ascii="Times New Roman" w:hAnsi="Times New Roman" w:eastAsia="仿宋_GB2312"/>
          <w:color w:val="000000"/>
          <w:sz w:val="32"/>
          <w:szCs w:val="32"/>
        </w:rPr>
        <w:t>，得分12分。</w:t>
      </w:r>
    </w:p>
    <w:p w14:paraId="4D91BE61">
      <w:pPr>
        <w:widowControl/>
        <w:spacing w:line="600" w:lineRule="exact"/>
        <w:ind w:right="-283" w:firstLine="643" w:firstLineChars="200"/>
        <w:rPr>
          <w:rFonts w:ascii="Times New Roman" w:hAnsi="Times New Roman" w:eastAsia="楷体_GB2312"/>
          <w:b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三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）效益指标（满分30分，实得30分）</w:t>
      </w:r>
    </w:p>
    <w:p w14:paraId="1A2BE13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1.经济效益指标（满分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15C4DCFE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2.社会效益指标（满分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7A3519EB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3.生态效益指标（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满分0分，</w:t>
      </w:r>
      <w:r>
        <w:rPr>
          <w:rFonts w:ascii="Times New Roman" w:hAnsi="Times New Roman" w:eastAsia="仿宋_GB2312"/>
          <w:color w:val="000000"/>
          <w:sz w:val="32"/>
          <w:szCs w:val="32"/>
        </w:rPr>
        <w:t>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5E9F4D67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4.可持续影响指标（满分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23A4A660">
      <w:pPr>
        <w:spacing w:line="600" w:lineRule="exact"/>
        <w:ind w:right="-283"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楷体_GB2312"/>
          <w:b/>
          <w:color w:val="000000"/>
          <w:sz w:val="32"/>
          <w:szCs w:val="32"/>
        </w:rPr>
        <w:t>（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四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）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满意度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指标（满分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分，实得</w:t>
      </w:r>
      <w:r>
        <w:rPr>
          <w:rFonts w:hint="eastAsia" w:ascii="Times New Roman" w:hAnsi="Times New Roman" w:eastAsia="楷体_GB2312"/>
          <w:b/>
          <w:color w:val="000000"/>
          <w:sz w:val="32"/>
          <w:szCs w:val="32"/>
        </w:rPr>
        <w:t>10</w:t>
      </w:r>
      <w:r>
        <w:rPr>
          <w:rFonts w:ascii="Times New Roman" w:hAnsi="Times New Roman" w:eastAsia="楷体_GB2312"/>
          <w:b/>
          <w:color w:val="000000"/>
          <w:sz w:val="32"/>
          <w:szCs w:val="32"/>
        </w:rPr>
        <w:t>分）</w:t>
      </w:r>
    </w:p>
    <w:p w14:paraId="658DE225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满意度</w:t>
      </w:r>
      <w:r>
        <w:rPr>
          <w:rFonts w:ascii="Times New Roman" w:hAnsi="Times New Roman" w:eastAsia="仿宋_GB2312"/>
          <w:color w:val="000000"/>
          <w:sz w:val="32"/>
          <w:szCs w:val="32"/>
        </w:rPr>
        <w:t>指标（满分10分，实得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10</w:t>
      </w:r>
      <w:r>
        <w:rPr>
          <w:rFonts w:ascii="Times New Roman" w:hAnsi="Times New Roman" w:eastAsia="仿宋_GB2312"/>
          <w:color w:val="000000"/>
          <w:sz w:val="32"/>
          <w:szCs w:val="32"/>
        </w:rPr>
        <w:t>分）</w:t>
      </w:r>
    </w:p>
    <w:p w14:paraId="08329413">
      <w:pPr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四、存在问题</w:t>
      </w:r>
    </w:p>
    <w:p w14:paraId="1B5FA5C9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通过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评价</w:t>
      </w:r>
      <w:r>
        <w:rPr>
          <w:rFonts w:ascii="Times New Roman" w:hAnsi="Times New Roman" w:eastAsia="仿宋_GB2312"/>
          <w:color w:val="000000"/>
          <w:sz w:val="32"/>
          <w:szCs w:val="32"/>
        </w:rPr>
        <w:t>发现，2024年度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城乡义务</w:t>
      </w:r>
      <w:r>
        <w:rPr>
          <w:rFonts w:ascii="Times New Roman" w:hAnsi="Times New Roman" w:eastAsia="仿宋_GB2312"/>
          <w:color w:val="000000"/>
          <w:sz w:val="32"/>
          <w:szCs w:val="32"/>
        </w:rPr>
        <w:t>教育补助经费项目实施虽取得了一定的成效，但还存在一些问题和不足，主要表现在：</w:t>
      </w:r>
    </w:p>
    <w:p w14:paraId="4ECB2D21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单位各</w:t>
      </w:r>
      <w:r>
        <w:rPr>
          <w:rFonts w:ascii="Times New Roman" w:hAnsi="Times New Roman" w:eastAsia="仿宋_GB2312"/>
          <w:color w:val="000000"/>
          <w:sz w:val="32"/>
          <w:szCs w:val="32"/>
        </w:rPr>
        <w:t>部门对预算绩效管理的认识和重视程度不够，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分工</w:t>
      </w:r>
      <w:r>
        <w:rPr>
          <w:rFonts w:ascii="Times New Roman" w:hAnsi="Times New Roman" w:eastAsia="仿宋_GB2312"/>
          <w:color w:val="000000"/>
          <w:sz w:val="32"/>
          <w:szCs w:val="32"/>
        </w:rPr>
        <w:t>不够明确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</w:t>
      </w:r>
      <w:r>
        <w:rPr>
          <w:rFonts w:ascii="Times New Roman" w:hAnsi="Times New Roman" w:eastAsia="仿宋_GB2312"/>
          <w:color w:val="000000"/>
          <w:sz w:val="32"/>
          <w:szCs w:val="32"/>
        </w:rPr>
        <w:t>缺少业务科室的协调配合；</w:t>
      </w:r>
    </w:p>
    <w:p w14:paraId="397AAEDB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二是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预算绩效</w:t>
      </w:r>
      <w:r>
        <w:rPr>
          <w:rFonts w:ascii="Times New Roman" w:hAnsi="Times New Roman" w:eastAsia="仿宋_GB2312"/>
          <w:color w:val="000000"/>
          <w:sz w:val="32"/>
          <w:szCs w:val="32"/>
        </w:rPr>
        <w:t>目标不够明确，预算指标不够细化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，导致业务管理</w:t>
      </w:r>
      <w:r>
        <w:rPr>
          <w:rFonts w:ascii="Times New Roman" w:hAnsi="Times New Roman" w:eastAsia="仿宋_GB2312"/>
          <w:color w:val="000000"/>
          <w:sz w:val="32"/>
          <w:szCs w:val="32"/>
        </w:rPr>
        <w:t>与绩效管理脱节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。</w:t>
      </w:r>
    </w:p>
    <w:p w14:paraId="32799F96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五、意见和建议</w:t>
      </w:r>
    </w:p>
    <w:p w14:paraId="6E320542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为进一步提高专项资金使用效益，针对存在的问题，提出如下建议：</w:t>
      </w:r>
    </w:p>
    <w:p w14:paraId="1786A9D4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一要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重视单位预算编制工作，预算要</w:t>
      </w:r>
      <w:r>
        <w:rPr>
          <w:rFonts w:ascii="Times New Roman" w:hAnsi="Times New Roman" w:eastAsia="仿宋_GB2312"/>
          <w:color w:val="000000"/>
          <w:sz w:val="32"/>
          <w:szCs w:val="32"/>
        </w:rPr>
        <w:t>更加细化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合理、不留缺口、不留空项，各</w:t>
      </w:r>
      <w:r>
        <w:rPr>
          <w:rFonts w:ascii="Times New Roman" w:hAnsi="Times New Roman" w:eastAsia="仿宋_GB2312"/>
          <w:color w:val="000000"/>
          <w:sz w:val="32"/>
          <w:szCs w:val="32"/>
        </w:rPr>
        <w:t>业务科室协调配合；</w:t>
      </w:r>
    </w:p>
    <w:p w14:paraId="236CBAE2">
      <w:pPr>
        <w:spacing w:line="600" w:lineRule="exact"/>
        <w:ind w:firstLine="643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b/>
          <w:color w:val="000000"/>
          <w:sz w:val="32"/>
          <w:szCs w:val="32"/>
        </w:rPr>
        <w:t>二要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预算资金分析常态化，定期做好预算支出分析，做好项目支出预算的评价工作。</w:t>
      </w:r>
    </w:p>
    <w:p w14:paraId="3970DDE5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六、</w:t>
      </w:r>
      <w:r>
        <w:rPr>
          <w:rFonts w:hint="eastAsia" w:ascii="Times New Roman" w:hAnsi="Times New Roman" w:eastAsia="黑体"/>
          <w:color w:val="000000"/>
          <w:sz w:val="32"/>
          <w:szCs w:val="32"/>
        </w:rPr>
        <w:t>评价</w:t>
      </w:r>
      <w:r>
        <w:rPr>
          <w:rFonts w:ascii="Times New Roman" w:hAnsi="Times New Roman" w:eastAsia="黑体"/>
          <w:color w:val="000000"/>
          <w:sz w:val="32"/>
          <w:szCs w:val="32"/>
        </w:rPr>
        <w:t>依据</w:t>
      </w:r>
    </w:p>
    <w:p w14:paraId="01EA83C4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（1）、财政部关于印发《项目支出绩效评价管理办法》的通知</w:t>
      </w:r>
    </w:p>
    <w:p w14:paraId="0CE2AF24">
      <w:pPr>
        <w:widowControl/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hint="eastAsia" w:ascii="Times New Roman" w:hAnsi="Times New Roman" w:eastAsia="仿宋_GB2312"/>
          <w:color w:val="000000"/>
          <w:sz w:val="32"/>
          <w:szCs w:val="32"/>
        </w:rPr>
        <w:t>（2）、《合肥市</w:t>
      </w:r>
      <w:r>
        <w:rPr>
          <w:rFonts w:hint="eastAsia" w:ascii="Times New Roman" w:hAnsi="Times New Roman" w:eastAsia="仿宋_GB2312"/>
          <w:color w:val="000000"/>
          <w:sz w:val="32"/>
          <w:szCs w:val="32"/>
          <w:lang w:val="en-US" w:eastAsia="zh-CN"/>
        </w:rPr>
        <w:t>第五十五中学东校</w:t>
      </w:r>
      <w:bookmarkStart w:id="0" w:name="_GoBack"/>
      <w:bookmarkEnd w:id="0"/>
      <w:r>
        <w:rPr>
          <w:rFonts w:hint="eastAsia" w:ascii="Times New Roman" w:hAnsi="Times New Roman" w:eastAsia="仿宋_GB2312"/>
          <w:color w:val="000000"/>
          <w:sz w:val="32"/>
          <w:szCs w:val="32"/>
        </w:rPr>
        <w:t>部门绩效自评办法》</w:t>
      </w:r>
    </w:p>
    <w:p w14:paraId="462E0ECE">
      <w:pPr>
        <w:widowControl/>
        <w:spacing w:line="600" w:lineRule="exact"/>
        <w:ind w:firstLine="640" w:firstLineChars="200"/>
        <w:rPr>
          <w:rFonts w:ascii="Times New Roman" w:hAnsi="Times New Roman" w:eastAsia="黑体"/>
          <w:color w:val="000000"/>
          <w:sz w:val="32"/>
          <w:szCs w:val="32"/>
        </w:rPr>
      </w:pPr>
      <w:r>
        <w:rPr>
          <w:rFonts w:ascii="Times New Roman" w:hAnsi="Times New Roman" w:eastAsia="黑体"/>
          <w:color w:val="000000"/>
          <w:sz w:val="32"/>
          <w:szCs w:val="32"/>
        </w:rPr>
        <w:t>七、附件</w:t>
      </w:r>
    </w:p>
    <w:p w14:paraId="0247F1BA">
      <w:pPr>
        <w:spacing w:line="600" w:lineRule="exact"/>
        <w:ind w:firstLine="640" w:firstLineChars="200"/>
        <w:rPr>
          <w:rFonts w:ascii="Times New Roman" w:hAnsi="Times New Roman" w:eastAsia="仿宋_GB2312"/>
          <w:color w:val="000000"/>
          <w:sz w:val="32"/>
          <w:szCs w:val="32"/>
        </w:rPr>
      </w:pPr>
      <w:r>
        <w:rPr>
          <w:rFonts w:ascii="Times New Roman" w:hAnsi="Times New Roman" w:eastAsia="仿宋_GB2312"/>
          <w:color w:val="000000"/>
          <w:sz w:val="32"/>
          <w:szCs w:val="32"/>
        </w:rPr>
        <w:t>1.项目支出绩效自评表（</w:t>
      </w:r>
      <w:r>
        <w:rPr>
          <w:rFonts w:hint="eastAsia" w:ascii="Times New Roman" w:hAnsi="Times New Roman" w:eastAsia="仿宋_GB2312"/>
          <w:color w:val="000000"/>
          <w:sz w:val="32"/>
          <w:szCs w:val="32"/>
        </w:rPr>
        <w:t>从预算管理一体化系统导出</w:t>
      </w:r>
      <w:r>
        <w:rPr>
          <w:rFonts w:ascii="Times New Roman" w:hAnsi="Times New Roman" w:eastAsia="仿宋_GB2312"/>
          <w:color w:val="000000"/>
          <w:sz w:val="32"/>
          <w:szCs w:val="32"/>
        </w:rPr>
        <w:t>）；</w:t>
      </w:r>
    </w:p>
    <w:p w14:paraId="6E8CB0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">
    <w:panose1 w:val="02010609060101010101"/>
    <w:charset w:val="86"/>
    <w:family w:val="roma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方正小标宋简体">
    <w:altName w:val="Microsoft YaHei UI"/>
    <w:panose1 w:val="00000000000000000000"/>
    <w:charset w:val="86"/>
    <w:family w:val="script"/>
    <w:pitch w:val="default"/>
    <w:sig w:usb0="00000000" w:usb1="00000000" w:usb2="00000000" w:usb3="00000000" w:csb0="00040000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266FE9"/>
    <w:rsid w:val="0001274C"/>
    <w:rsid w:val="00013EE2"/>
    <w:rsid w:val="00072ABE"/>
    <w:rsid w:val="00074476"/>
    <w:rsid w:val="000F67BB"/>
    <w:rsid w:val="00205B24"/>
    <w:rsid w:val="00266FE9"/>
    <w:rsid w:val="002B5F1D"/>
    <w:rsid w:val="003203E6"/>
    <w:rsid w:val="00367A99"/>
    <w:rsid w:val="00420F64"/>
    <w:rsid w:val="0046453D"/>
    <w:rsid w:val="004847DC"/>
    <w:rsid w:val="005778A8"/>
    <w:rsid w:val="005A38AB"/>
    <w:rsid w:val="00643F3A"/>
    <w:rsid w:val="00644BB9"/>
    <w:rsid w:val="00671ADA"/>
    <w:rsid w:val="006D5711"/>
    <w:rsid w:val="006E7451"/>
    <w:rsid w:val="007452AC"/>
    <w:rsid w:val="008266D5"/>
    <w:rsid w:val="00843D9C"/>
    <w:rsid w:val="00866B8E"/>
    <w:rsid w:val="008A6399"/>
    <w:rsid w:val="0090586B"/>
    <w:rsid w:val="00926ACF"/>
    <w:rsid w:val="00997D50"/>
    <w:rsid w:val="00AA0CAB"/>
    <w:rsid w:val="00AE0B9F"/>
    <w:rsid w:val="00B228EB"/>
    <w:rsid w:val="00B95199"/>
    <w:rsid w:val="00BC2F8E"/>
    <w:rsid w:val="00CA025E"/>
    <w:rsid w:val="00CC7EEC"/>
    <w:rsid w:val="00DB3AF8"/>
    <w:rsid w:val="00E32496"/>
    <w:rsid w:val="00E35CD9"/>
    <w:rsid w:val="00EA4B4A"/>
    <w:rsid w:val="00EB0A89"/>
    <w:rsid w:val="00ED67F4"/>
    <w:rsid w:val="00EF354F"/>
    <w:rsid w:val="00F20B3F"/>
    <w:rsid w:val="00F24334"/>
    <w:rsid w:val="00F26FDB"/>
    <w:rsid w:val="00F459EE"/>
    <w:rsid w:val="00F56044"/>
    <w:rsid w:val="00FC6A78"/>
    <w:rsid w:val="00FE3844"/>
    <w:rsid w:val="07E23777"/>
    <w:rsid w:val="3F5B2D54"/>
    <w:rsid w:val="46237F9D"/>
    <w:rsid w:val="6A6377CF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link w:val="8"/>
    <w:qFormat/>
    <w:uiPriority w:val="9"/>
    <w:pPr>
      <w:widowControl/>
      <w:spacing w:before="100" w:beforeAutospacing="1" w:after="100" w:afterAutospacing="1"/>
      <w:jc w:val="left"/>
      <w:outlineLvl w:val="1"/>
    </w:pPr>
    <w:rPr>
      <w:rFonts w:ascii="宋体" w:hAnsi="宋体" w:cs="宋体"/>
      <w:b/>
      <w:bCs/>
      <w:kern w:val="0"/>
      <w:sz w:val="36"/>
      <w:szCs w:val="36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2"/>
    <w:semiHidden/>
    <w:unhideWhenUsed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标题 2 字符"/>
    <w:basedOn w:val="7"/>
    <w:link w:val="2"/>
    <w:uiPriority w:val="9"/>
    <w:rPr>
      <w:rFonts w:ascii="宋体" w:hAnsi="宋体" w:eastAsia="宋体" w:cs="宋体"/>
      <w:b/>
      <w:bCs/>
      <w:kern w:val="0"/>
      <w:sz w:val="36"/>
      <w:szCs w:val="36"/>
    </w:rPr>
  </w:style>
  <w:style w:type="paragraph" w:customStyle="1" w:styleId="9">
    <w:name w:val="表格标题"/>
    <w:basedOn w:val="1"/>
    <w:link w:val="10"/>
    <w:qFormat/>
    <w:uiPriority w:val="0"/>
    <w:pPr>
      <w:jc w:val="left"/>
    </w:pPr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0">
    <w:name w:val="表格标题_"/>
    <w:basedOn w:val="7"/>
    <w:link w:val="9"/>
    <w:qFormat/>
    <w:uiPriority w:val="0"/>
    <w:rPr>
      <w:rFonts w:ascii="仿宋" w:hAnsi="仿宋" w:eastAsia="仿宋" w:cs="仿宋"/>
      <w:kern w:val="0"/>
      <w:sz w:val="30"/>
      <w:szCs w:val="30"/>
      <w:lang w:val="zh-CN" w:bidi="zh-CN"/>
    </w:rPr>
  </w:style>
  <w:style w:type="paragraph" w:styleId="11">
    <w:name w:val="List Paragraph"/>
    <w:basedOn w:val="1"/>
    <w:unhideWhenUsed/>
    <w:uiPriority w:val="99"/>
    <w:pPr>
      <w:ind w:firstLine="420" w:firstLineChars="200"/>
    </w:pPr>
    <w:rPr>
      <w:rFonts w:asciiTheme="minorHAnsi" w:hAnsiTheme="minorHAnsi" w:eastAsiaTheme="minorEastAsia" w:cstheme="minorBidi"/>
    </w:rPr>
  </w:style>
  <w:style w:type="character" w:customStyle="1" w:styleId="12">
    <w:name w:val="批注框文本 字符"/>
    <w:basedOn w:val="7"/>
    <w:link w:val="3"/>
    <w:semiHidden/>
    <w:uiPriority w:val="99"/>
    <w:rPr>
      <w:sz w:val="18"/>
      <w:szCs w:val="18"/>
    </w:rPr>
  </w:style>
  <w:style w:type="paragraph" w:customStyle="1" w:styleId="13">
    <w:name w:val="正文文本 (2)"/>
    <w:basedOn w:val="1"/>
    <w:link w:val="14"/>
    <w:uiPriority w:val="0"/>
    <w:pPr>
      <w:spacing w:line="560" w:lineRule="exact"/>
      <w:ind w:firstLine="720"/>
      <w:jc w:val="left"/>
    </w:pPr>
    <w:rPr>
      <w:rFonts w:ascii="微软雅黑" w:hAnsi="微软雅黑" w:eastAsia="微软雅黑" w:cs="微软雅黑"/>
      <w:kern w:val="0"/>
      <w:sz w:val="30"/>
      <w:szCs w:val="30"/>
      <w:lang w:val="zh-CN" w:bidi="zh-CN"/>
    </w:rPr>
  </w:style>
  <w:style w:type="character" w:customStyle="1" w:styleId="14">
    <w:name w:val="正文文本 (2)_"/>
    <w:basedOn w:val="7"/>
    <w:link w:val="13"/>
    <w:qFormat/>
    <w:uiPriority w:val="0"/>
    <w:rPr>
      <w:rFonts w:ascii="微软雅黑" w:hAnsi="微软雅黑" w:eastAsia="微软雅黑" w:cs="微软雅黑"/>
      <w:kern w:val="0"/>
      <w:sz w:val="30"/>
      <w:szCs w:val="30"/>
      <w:lang w:val="zh-CN" w:bidi="zh-CN"/>
    </w:rPr>
  </w:style>
  <w:style w:type="paragraph" w:customStyle="1" w:styleId="15">
    <w:name w:val="正文文本1"/>
    <w:basedOn w:val="1"/>
    <w:link w:val="16"/>
    <w:qFormat/>
    <w:uiPriority w:val="0"/>
    <w:pPr>
      <w:spacing w:line="394" w:lineRule="auto"/>
      <w:ind w:firstLine="400"/>
      <w:jc w:val="left"/>
    </w:pPr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6">
    <w:name w:val="正文文本_"/>
    <w:basedOn w:val="7"/>
    <w:link w:val="15"/>
    <w:qFormat/>
    <w:uiPriority w:val="0"/>
    <w:rPr>
      <w:rFonts w:ascii="仿宋" w:hAnsi="仿宋" w:eastAsia="仿宋" w:cs="仿宋"/>
      <w:kern w:val="0"/>
      <w:sz w:val="30"/>
      <w:szCs w:val="30"/>
      <w:lang w:val="zh-CN" w:bidi="zh-CN"/>
    </w:rPr>
  </w:style>
  <w:style w:type="character" w:customStyle="1" w:styleId="17">
    <w:name w:val="页眉 字符"/>
    <w:basedOn w:val="7"/>
    <w:link w:val="5"/>
    <w:qFormat/>
    <w:uiPriority w:val="99"/>
    <w:rPr>
      <w:rFonts w:ascii="Calibri" w:hAnsi="Calibri" w:eastAsia="宋体" w:cs="Times New Roman"/>
      <w:sz w:val="18"/>
      <w:szCs w:val="18"/>
    </w:rPr>
  </w:style>
  <w:style w:type="character" w:customStyle="1" w:styleId="18">
    <w:name w:val="页脚 字符"/>
    <w:basedOn w:val="7"/>
    <w:link w:val="4"/>
    <w:qFormat/>
    <w:uiPriority w:val="99"/>
    <w:rPr>
      <w:rFonts w:ascii="Calibri" w:hAnsi="Calibri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6</Pages>
  <Words>1931</Words>
  <Characters>2118</Characters>
  <Lines>16</Lines>
  <Paragraphs>4</Paragraphs>
  <TotalTime>2</TotalTime>
  <ScaleCrop>false</ScaleCrop>
  <LinksUpToDate>false</LinksUpToDate>
  <CharactersWithSpaces>2258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2023-02-28T01:35:00Z</dcterms:created>
  <dc:creator>User</dc:creator>
  <cp:lastModifiedBy>Administrator</cp:lastModifiedBy>
  <dcterms:modified xsi:type="dcterms:W3CDTF">2025-03-10T01:06:29Z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eyJoZGlkIjoiYjM5NjBmNjBkNTMyZWFjNTUxNGUzY2QyMmE2NDlhNTAifQ==</vt:lpwstr>
  </property>
  <property fmtid="{D5CDD505-2E9C-101B-9397-08002B2CF9AE}" pid="3" name="KSOProductBuildVer">
    <vt:lpwstr>2052-12.1.0.20305</vt:lpwstr>
  </property>
  <property fmtid="{D5CDD505-2E9C-101B-9397-08002B2CF9AE}" pid="4" name="ICV">
    <vt:lpwstr>3797F20019904F24BE6CB98D97010E85_12</vt:lpwstr>
  </property>
</Properties>
</file>